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A173" w14:textId="3A203371" w:rsidR="00FE12C7" w:rsidRDefault="00FE12C7" w:rsidP="00FE12C7">
      <w:pPr>
        <w:pStyle w:val="Header"/>
        <w:jc w:val="center"/>
        <w:rPr>
          <w:rFonts w:ascii="Calibri" w:hAnsi="Calibri"/>
          <w:b/>
          <w:color w:val="333399"/>
        </w:rPr>
      </w:pPr>
      <w:r>
        <w:rPr>
          <w:rFonts w:ascii="Calibri" w:hAnsi="Calibri"/>
          <w:b/>
          <w:noProof/>
          <w:color w:val="333399"/>
        </w:rPr>
        <w:drawing>
          <wp:inline distT="0" distB="0" distL="0" distR="0" wp14:anchorId="22786404" wp14:editId="63BF39FB">
            <wp:extent cx="5619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BBB39" w14:textId="77777777" w:rsidR="00FE12C7" w:rsidRDefault="00FE12C7" w:rsidP="00FE12C7">
      <w:pPr>
        <w:pStyle w:val="Header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ΠΑΝΕΠΙΣΤ</w:t>
      </w:r>
      <w:r>
        <w:rPr>
          <w:rFonts w:ascii="Calibri" w:hAnsi="Calibri"/>
          <w:b/>
          <w:lang w:val="en-US"/>
        </w:rPr>
        <w:t>H</w:t>
      </w:r>
      <w:r>
        <w:rPr>
          <w:rFonts w:ascii="Calibri" w:hAnsi="Calibri"/>
          <w:b/>
        </w:rPr>
        <w:t>ΜΙΟ ΠΕΙΡΑΙΩΣ</w:t>
      </w:r>
    </w:p>
    <w:p w14:paraId="1B0A830E" w14:textId="77777777" w:rsidR="00FE12C7" w:rsidRDefault="00FE12C7" w:rsidP="00FE12C7">
      <w:r w:rsidRPr="00FE12C7">
        <w:rPr>
          <w:rFonts w:ascii="Calibri" w:hAnsi="Calibri"/>
          <w:b/>
        </w:rPr>
        <w:t>_____________________________________________________________________</w:t>
      </w:r>
    </w:p>
    <w:p w14:paraId="7D52619C" w14:textId="77777777" w:rsidR="00FE12C7" w:rsidRDefault="00FE12C7" w:rsidP="00FE12C7"/>
    <w:p w14:paraId="5C77A058" w14:textId="77777777" w:rsidR="00FE12C7" w:rsidRDefault="00FE12C7" w:rsidP="00FE12C7"/>
    <w:p w14:paraId="744F47C7" w14:textId="77777777" w:rsidR="00FE12C7" w:rsidRDefault="00FE12C7" w:rsidP="00FE12C7">
      <w:pPr>
        <w:shd w:val="clear" w:color="auto" w:fill="FFFFFF"/>
        <w:spacing w:after="150"/>
        <w:jc w:val="center"/>
        <w:outlineLvl w:val="1"/>
        <w:rPr>
          <w:rFonts w:cs="Calibri"/>
          <w:b/>
          <w:bCs/>
          <w:color w:val="222222"/>
        </w:rPr>
      </w:pPr>
      <w:r>
        <w:rPr>
          <w:rFonts w:cs="Calibri"/>
          <w:b/>
          <w:bCs/>
          <w:color w:val="222222"/>
        </w:rPr>
        <w:t>Δελτίο Τύπου</w:t>
      </w:r>
    </w:p>
    <w:p w14:paraId="164A86A7" w14:textId="1FB40902" w:rsidR="00482621" w:rsidRPr="00482621" w:rsidRDefault="00482621" w:rsidP="00482621">
      <w:pPr>
        <w:jc w:val="center"/>
        <w:rPr>
          <w:b/>
          <w:bCs/>
        </w:rPr>
      </w:pPr>
      <w:r>
        <w:rPr>
          <w:rFonts w:cstheme="minorHAnsi"/>
          <w:b/>
        </w:rPr>
        <w:t>Μ</w:t>
      </w:r>
      <w:r w:rsidRPr="00D70B1D">
        <w:rPr>
          <w:rFonts w:cstheme="minorHAnsi"/>
          <w:b/>
        </w:rPr>
        <w:t xml:space="preserve">νημόνιο </w:t>
      </w:r>
      <w:r>
        <w:rPr>
          <w:rFonts w:cstheme="minorHAnsi"/>
          <w:b/>
        </w:rPr>
        <w:t>Σ</w:t>
      </w:r>
      <w:r w:rsidRPr="00D70B1D">
        <w:rPr>
          <w:rFonts w:cstheme="minorHAnsi"/>
          <w:b/>
        </w:rPr>
        <w:t xml:space="preserve">υνεργασίας του </w:t>
      </w:r>
      <w:r>
        <w:rPr>
          <w:rFonts w:cstheme="minorHAnsi"/>
          <w:b/>
        </w:rPr>
        <w:t>Π</w:t>
      </w:r>
      <w:r w:rsidRPr="00D70B1D">
        <w:rPr>
          <w:rFonts w:cstheme="minorHAnsi"/>
          <w:b/>
        </w:rPr>
        <w:t xml:space="preserve">ανεπιστήμιου Πειραιώς και των </w:t>
      </w:r>
      <w:r>
        <w:rPr>
          <w:rFonts w:cstheme="minorHAnsi"/>
          <w:b/>
        </w:rPr>
        <w:t>Ε</w:t>
      </w:r>
      <w:r w:rsidRPr="00D70B1D">
        <w:rPr>
          <w:rFonts w:cstheme="minorHAnsi"/>
          <w:b/>
        </w:rPr>
        <w:t xml:space="preserve">υρωπαϊκών </w:t>
      </w:r>
      <w:r>
        <w:rPr>
          <w:rFonts w:cstheme="minorHAnsi"/>
          <w:b/>
        </w:rPr>
        <w:t>Ε</w:t>
      </w:r>
      <w:r w:rsidRPr="00D70B1D">
        <w:rPr>
          <w:rFonts w:cstheme="minorHAnsi"/>
          <w:b/>
        </w:rPr>
        <w:t xml:space="preserve">ποπτικών </w:t>
      </w:r>
      <w:r>
        <w:rPr>
          <w:rFonts w:cstheme="minorHAnsi"/>
          <w:b/>
        </w:rPr>
        <w:t>Α</w:t>
      </w:r>
      <w:r w:rsidRPr="00D70B1D">
        <w:rPr>
          <w:rFonts w:cstheme="minorHAnsi"/>
          <w:b/>
        </w:rPr>
        <w:t>ρχών (ESA’</w:t>
      </w:r>
      <w:r>
        <w:rPr>
          <w:rFonts w:cstheme="minorHAnsi"/>
          <w:b/>
        </w:rPr>
        <w:t>s</w:t>
      </w:r>
      <w:r w:rsidRPr="00D70B1D">
        <w:rPr>
          <w:rFonts w:cstheme="minorHAnsi"/>
          <w:b/>
        </w:rPr>
        <w:t>)</w:t>
      </w:r>
    </w:p>
    <w:p w14:paraId="325632CD" w14:textId="48BCB2F6" w:rsidR="006662A8" w:rsidRDefault="006662A8" w:rsidP="00FE12C7">
      <w:pPr>
        <w:spacing w:after="60"/>
        <w:ind w:firstLine="284"/>
        <w:jc w:val="center"/>
        <w:rPr>
          <w:rFonts w:ascii="Constantia" w:hAnsi="Constantia" w:cs="Arial"/>
          <w:b/>
          <w:bCs/>
        </w:rPr>
      </w:pPr>
    </w:p>
    <w:p w14:paraId="30F46454" w14:textId="77777777" w:rsidR="006662A8" w:rsidRDefault="006662A8" w:rsidP="006662A8">
      <w:pPr>
        <w:spacing w:after="60"/>
        <w:ind w:firstLine="284"/>
        <w:jc w:val="both"/>
        <w:rPr>
          <w:rFonts w:ascii="Constantia" w:hAnsi="Constantia" w:cs="Arial"/>
        </w:rPr>
      </w:pPr>
    </w:p>
    <w:p w14:paraId="6CEA4122" w14:textId="77777777" w:rsidR="00482621" w:rsidRDefault="00482621" w:rsidP="00482621">
      <w:pPr>
        <w:ind w:firstLine="720"/>
        <w:jc w:val="both"/>
        <w:rPr>
          <w:rFonts w:cstheme="minorHAnsi"/>
        </w:rPr>
      </w:pPr>
      <w:r w:rsidRPr="00A0032A">
        <w:rPr>
          <w:rFonts w:cstheme="minorHAnsi"/>
        </w:rPr>
        <w:t>Μνημόνιο συνεργασίας (</w:t>
      </w:r>
      <w:proofErr w:type="spellStart"/>
      <w:r w:rsidRPr="00A0032A">
        <w:rPr>
          <w:rFonts w:cstheme="minorHAnsi"/>
        </w:rPr>
        <w:t>MoU</w:t>
      </w:r>
      <w:proofErr w:type="spellEnd"/>
      <w:r w:rsidRPr="00A0032A">
        <w:rPr>
          <w:rFonts w:cstheme="minorHAnsi"/>
        </w:rPr>
        <w:t xml:space="preserve">), υπεγράφη </w:t>
      </w:r>
      <w:r>
        <w:rPr>
          <w:rFonts w:cstheme="minorHAnsi"/>
        </w:rPr>
        <w:t>από τον Π</w:t>
      </w:r>
      <w:r w:rsidRPr="00A0032A">
        <w:rPr>
          <w:rFonts w:cstheme="minorHAnsi"/>
        </w:rPr>
        <w:t>ρύτανη του Πανεπιστημίου Πειραιώς, Καθηγητή Μιχαήλ Σφακιανάκη, μεταξύ του Πανεπιστημίου Πειραι</w:t>
      </w:r>
      <w:r>
        <w:rPr>
          <w:rFonts w:cstheme="minorHAnsi"/>
        </w:rPr>
        <w:t xml:space="preserve">ώς, </w:t>
      </w:r>
      <w:r w:rsidRPr="00760445">
        <w:rPr>
          <w:rFonts w:cstheme="minorHAnsi"/>
        </w:rPr>
        <w:t>(</w:t>
      </w:r>
      <w:r w:rsidRPr="00A0032A">
        <w:rPr>
          <w:rFonts w:cstheme="minorHAnsi"/>
        </w:rPr>
        <w:t>Τμήμα Χρηματοοικονομικής και Τραπεζικής Διοικητικής</w:t>
      </w:r>
      <w:r w:rsidRPr="00760445">
        <w:rPr>
          <w:rFonts w:cstheme="minorHAnsi"/>
        </w:rPr>
        <w:t>)</w:t>
      </w:r>
      <w:r w:rsidRPr="00A0032A">
        <w:rPr>
          <w:rFonts w:cstheme="minorHAnsi"/>
        </w:rPr>
        <w:t xml:space="preserve"> και των Ευρωπαϊκών Εποπτικών Αρχών</w:t>
      </w:r>
      <w:r w:rsidRPr="00760445">
        <w:t xml:space="preserve"> </w:t>
      </w:r>
      <w:r w:rsidRPr="00760445">
        <w:rPr>
          <w:rFonts w:cstheme="minorHAnsi"/>
        </w:rPr>
        <w:t xml:space="preserve">στο πλαίσιο </w:t>
      </w:r>
      <w:r>
        <w:rPr>
          <w:rFonts w:cstheme="minorHAnsi"/>
        </w:rPr>
        <w:t xml:space="preserve">της </w:t>
      </w:r>
      <w:r w:rsidRPr="00760445">
        <w:rPr>
          <w:rFonts w:cstheme="minorHAnsi"/>
        </w:rPr>
        <w:t>πρωτοβουλίας</w:t>
      </w:r>
      <w:r>
        <w:rPr>
          <w:rFonts w:cstheme="minorHAnsi"/>
        </w:rPr>
        <w:t xml:space="preserve"> τους για τη δημιουργία  προγραμμάτων συνεργασίας </w:t>
      </w:r>
      <w:r w:rsidRPr="00760445">
        <w:rPr>
          <w:rFonts w:cstheme="minorHAnsi"/>
        </w:rPr>
        <w:t xml:space="preserve"> με επιλεγμένα Πανεπιστήμια, διεθνώς</w:t>
      </w:r>
      <w:r>
        <w:rPr>
          <w:rFonts w:cstheme="minorHAnsi"/>
        </w:rPr>
        <w:t>.</w:t>
      </w:r>
    </w:p>
    <w:p w14:paraId="71D1A5D1" w14:textId="55D2E2B6" w:rsidR="00482621" w:rsidRDefault="00482621" w:rsidP="00482621">
      <w:pPr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 Ο</w:t>
      </w:r>
      <w:r w:rsidRPr="004E2CA2">
        <w:rPr>
          <w:rFonts w:cstheme="minorHAnsi"/>
        </w:rPr>
        <w:t>ι Ευρωπαϊκές Εποπτικές Αρχές</w:t>
      </w:r>
      <w:r w:rsidRPr="00A0032A">
        <w:rPr>
          <w:rFonts w:cstheme="minorHAnsi"/>
        </w:rPr>
        <w:t xml:space="preserve"> </w:t>
      </w:r>
      <w:bookmarkStart w:id="0" w:name="_Hlk143614203"/>
      <w:r>
        <w:rPr>
          <w:rFonts w:cstheme="minorHAnsi"/>
        </w:rPr>
        <w:t xml:space="preserve">αποτελούνται από </w:t>
      </w:r>
      <w:r w:rsidRPr="005C6453">
        <w:rPr>
          <w:rFonts w:cstheme="minorHAnsi"/>
        </w:rPr>
        <w:t xml:space="preserve">την Ευρωπαϊκή Αρχή  </w:t>
      </w:r>
      <w:bookmarkEnd w:id="0"/>
      <w:r w:rsidRPr="005C6453">
        <w:rPr>
          <w:rFonts w:cstheme="minorHAnsi"/>
        </w:rPr>
        <w:t>Κινητών Αξιών και Αγορών (</w:t>
      </w:r>
      <w:r w:rsidRPr="005C6453">
        <w:rPr>
          <w:rFonts w:cstheme="minorHAnsi"/>
          <w:i/>
          <w:iCs/>
        </w:rPr>
        <w:t xml:space="preserve">European </w:t>
      </w:r>
      <w:proofErr w:type="spellStart"/>
      <w:r w:rsidRPr="005C6453">
        <w:rPr>
          <w:rFonts w:cstheme="minorHAnsi"/>
          <w:i/>
          <w:iCs/>
        </w:rPr>
        <w:t>Securities</w:t>
      </w:r>
      <w:proofErr w:type="spellEnd"/>
      <w:r w:rsidRPr="005C6453">
        <w:rPr>
          <w:rFonts w:cstheme="minorHAnsi"/>
          <w:i/>
          <w:iCs/>
        </w:rPr>
        <w:t xml:space="preserve"> and </w:t>
      </w:r>
      <w:proofErr w:type="spellStart"/>
      <w:r w:rsidRPr="005C6453">
        <w:rPr>
          <w:rFonts w:cstheme="minorHAnsi"/>
          <w:i/>
          <w:iCs/>
        </w:rPr>
        <w:t>Markets</w:t>
      </w:r>
      <w:proofErr w:type="spellEnd"/>
      <w:r w:rsidRPr="005C6453">
        <w:rPr>
          <w:rFonts w:cstheme="minorHAnsi"/>
          <w:i/>
          <w:iCs/>
        </w:rPr>
        <w:t xml:space="preserve"> Authority</w:t>
      </w:r>
      <w:r w:rsidRPr="005C6453">
        <w:rPr>
          <w:rFonts w:cstheme="minorHAnsi"/>
        </w:rPr>
        <w:t xml:space="preserve"> - </w:t>
      </w:r>
      <w:r w:rsidRPr="005C6453">
        <w:rPr>
          <w:rFonts w:cstheme="minorHAnsi"/>
          <w:i/>
          <w:iCs/>
        </w:rPr>
        <w:t>ESMA</w:t>
      </w:r>
      <w:r w:rsidRPr="005C6453">
        <w:rPr>
          <w:rFonts w:cstheme="minorHAnsi"/>
        </w:rPr>
        <w:t xml:space="preserve">), την Ευρωπαϊκή Αρχή  Ασφαλίσεων και Επαγγελματικών Συντάξεων </w:t>
      </w:r>
      <w:r w:rsidRPr="005C6453">
        <w:rPr>
          <w:rFonts w:cstheme="minorHAnsi"/>
          <w:i/>
          <w:iCs/>
        </w:rPr>
        <w:t xml:space="preserve">(European Insurance and </w:t>
      </w:r>
      <w:proofErr w:type="spellStart"/>
      <w:r w:rsidRPr="005C6453">
        <w:rPr>
          <w:rFonts w:cstheme="minorHAnsi"/>
          <w:i/>
          <w:iCs/>
        </w:rPr>
        <w:t>Occupational</w:t>
      </w:r>
      <w:proofErr w:type="spellEnd"/>
      <w:r w:rsidRPr="005C6453">
        <w:rPr>
          <w:rFonts w:cstheme="minorHAnsi"/>
          <w:i/>
          <w:iCs/>
        </w:rPr>
        <w:t xml:space="preserve"> </w:t>
      </w:r>
      <w:proofErr w:type="spellStart"/>
      <w:r w:rsidRPr="005C6453">
        <w:rPr>
          <w:rFonts w:cstheme="minorHAnsi"/>
          <w:i/>
          <w:iCs/>
        </w:rPr>
        <w:t>Pensions</w:t>
      </w:r>
      <w:proofErr w:type="spellEnd"/>
      <w:r w:rsidRPr="005C6453">
        <w:rPr>
          <w:rFonts w:cstheme="minorHAnsi"/>
          <w:i/>
          <w:iCs/>
        </w:rPr>
        <w:t xml:space="preserve"> Authority </w:t>
      </w:r>
      <w:r w:rsidR="000E64F0" w:rsidRPr="000E64F0">
        <w:rPr>
          <w:rFonts w:cstheme="minorHAnsi"/>
        </w:rPr>
        <w:t>-</w:t>
      </w:r>
      <w:r w:rsidRPr="005C6453">
        <w:rPr>
          <w:rFonts w:cstheme="minorHAnsi"/>
        </w:rPr>
        <w:t xml:space="preserve"> </w:t>
      </w:r>
      <w:r w:rsidRPr="005C6453">
        <w:rPr>
          <w:rFonts w:cstheme="minorHAnsi"/>
          <w:i/>
          <w:iCs/>
        </w:rPr>
        <w:t>EIOPA)</w:t>
      </w:r>
      <w:r w:rsidRPr="005C6453">
        <w:rPr>
          <w:rFonts w:cstheme="minorHAnsi"/>
        </w:rPr>
        <w:t xml:space="preserve"> και την </w:t>
      </w:r>
      <w:r w:rsidR="000E64F0">
        <w:rPr>
          <w:rFonts w:cstheme="minorHAnsi"/>
        </w:rPr>
        <w:t xml:space="preserve">Ευρωπαϊκή Αρχή </w:t>
      </w:r>
      <w:r w:rsidRPr="005C6453">
        <w:rPr>
          <w:rFonts w:cstheme="minorHAnsi"/>
        </w:rPr>
        <w:t>Τραπεζών (</w:t>
      </w:r>
      <w:r w:rsidRPr="005C6453">
        <w:rPr>
          <w:rFonts w:cstheme="minorHAnsi"/>
          <w:i/>
          <w:iCs/>
        </w:rPr>
        <w:t xml:space="preserve">European </w:t>
      </w:r>
      <w:proofErr w:type="spellStart"/>
      <w:r w:rsidRPr="005C6453">
        <w:rPr>
          <w:rFonts w:cstheme="minorHAnsi"/>
          <w:i/>
          <w:iCs/>
        </w:rPr>
        <w:t>Banking</w:t>
      </w:r>
      <w:proofErr w:type="spellEnd"/>
      <w:r w:rsidRPr="005C6453">
        <w:rPr>
          <w:rFonts w:cstheme="minorHAnsi"/>
          <w:i/>
          <w:iCs/>
        </w:rPr>
        <w:t xml:space="preserve"> Authority</w:t>
      </w:r>
      <w:r w:rsidRPr="005C6453">
        <w:rPr>
          <w:rFonts w:cstheme="minorHAnsi"/>
        </w:rPr>
        <w:t xml:space="preserve"> -</w:t>
      </w:r>
      <w:r w:rsidR="000E64F0" w:rsidRPr="000E64F0">
        <w:rPr>
          <w:rFonts w:cstheme="minorHAnsi"/>
        </w:rPr>
        <w:t xml:space="preserve"> </w:t>
      </w:r>
      <w:r w:rsidRPr="005C6453">
        <w:rPr>
          <w:rFonts w:cstheme="minorHAnsi"/>
          <w:i/>
          <w:iCs/>
        </w:rPr>
        <w:t>EBA</w:t>
      </w:r>
      <w:r w:rsidRPr="005C6453">
        <w:rPr>
          <w:rFonts w:cstheme="minorHAnsi"/>
        </w:rPr>
        <w:t>)</w:t>
      </w:r>
      <w:r>
        <w:rPr>
          <w:rFonts w:cstheme="minorHAnsi"/>
        </w:rPr>
        <w:t xml:space="preserve"> και έχουν την ευθύνη της </w:t>
      </w:r>
      <w:proofErr w:type="spellStart"/>
      <w:r>
        <w:rPr>
          <w:rFonts w:cstheme="minorHAnsi"/>
        </w:rPr>
        <w:t>μικροπροληπτικής</w:t>
      </w:r>
      <w:proofErr w:type="spellEnd"/>
      <w:r>
        <w:rPr>
          <w:rFonts w:cstheme="minorHAnsi"/>
        </w:rPr>
        <w:t xml:space="preserve"> εποπτείας επιμέρους ιδρυμάτων όπως οι τράπεζες, οι ασφαλιστικές εταιρείες ή τα ταμεία συντάξεων. </w:t>
      </w:r>
      <w:r w:rsidR="009B7CB9" w:rsidRPr="009B7CB9">
        <w:rPr>
          <w:rFonts w:cstheme="minorHAnsi"/>
        </w:rPr>
        <w:t xml:space="preserve">Ο ιδιαίτερος ρόλος των </w:t>
      </w:r>
      <w:proofErr w:type="spellStart"/>
      <w:r w:rsidR="006D7865" w:rsidRPr="006D7865">
        <w:rPr>
          <w:rFonts w:cstheme="minorHAnsi"/>
          <w:bCs/>
        </w:rPr>
        <w:t>ESA’s</w:t>
      </w:r>
      <w:proofErr w:type="spellEnd"/>
      <w:r w:rsidR="009B7CB9" w:rsidRPr="009B7CB9">
        <w:rPr>
          <w:rFonts w:cstheme="minorHAnsi"/>
        </w:rPr>
        <w:t xml:space="preserve"> είναι να συμβουλεύουν τα όργανα της </w:t>
      </w:r>
      <w:r w:rsidR="006D7865">
        <w:rPr>
          <w:rFonts w:cstheme="minorHAnsi"/>
        </w:rPr>
        <w:t>Ευρωπαϊκή</w:t>
      </w:r>
      <w:r w:rsidR="006D7865">
        <w:rPr>
          <w:rFonts w:cstheme="minorHAnsi"/>
        </w:rPr>
        <w:t>ς</w:t>
      </w:r>
      <w:r w:rsidR="006D7865">
        <w:rPr>
          <w:rFonts w:cstheme="minorHAnsi"/>
        </w:rPr>
        <w:t xml:space="preserve"> Ένωση</w:t>
      </w:r>
      <w:r w:rsidR="006D7865">
        <w:rPr>
          <w:rFonts w:cstheme="minorHAnsi"/>
        </w:rPr>
        <w:t>ς</w:t>
      </w:r>
      <w:r w:rsidR="009B7CB9" w:rsidRPr="009B7CB9">
        <w:rPr>
          <w:rFonts w:cstheme="minorHAnsi"/>
        </w:rPr>
        <w:t xml:space="preserve"> στη νομοθετική διαδικασία, να αναπτύσσουν ρυθμιστικά πρότυπα και να συντονίζουν τις εθνικές εποπτικές αρχές. </w:t>
      </w:r>
      <w:r>
        <w:rPr>
          <w:rFonts w:cstheme="minorHAnsi"/>
        </w:rPr>
        <w:t xml:space="preserve">Το έργο </w:t>
      </w:r>
      <w:r w:rsidR="009B7CB9">
        <w:rPr>
          <w:rFonts w:cstheme="minorHAnsi"/>
        </w:rPr>
        <w:t>τους</w:t>
      </w:r>
      <w:r w:rsidR="006D7865" w:rsidRPr="006D7865">
        <w:rPr>
          <w:rFonts w:cstheme="minorHAnsi"/>
        </w:rPr>
        <w:t xml:space="preserve"> </w:t>
      </w:r>
      <w:r>
        <w:rPr>
          <w:rFonts w:cstheme="minorHAnsi"/>
        </w:rPr>
        <w:t>επικεντρώνεται</w:t>
      </w:r>
      <w:r w:rsidR="006D7865" w:rsidRPr="006D7865">
        <w:rPr>
          <w:rFonts w:cstheme="minorHAnsi"/>
        </w:rPr>
        <w:t>,</w:t>
      </w:r>
      <w:r>
        <w:rPr>
          <w:rFonts w:cstheme="minorHAnsi"/>
        </w:rPr>
        <w:t xml:space="preserve"> κατά κύριο λόγο</w:t>
      </w:r>
      <w:r w:rsidR="006D7865" w:rsidRPr="006D7865">
        <w:rPr>
          <w:rFonts w:cstheme="minorHAnsi"/>
        </w:rPr>
        <w:t>,</w:t>
      </w:r>
      <w:r>
        <w:rPr>
          <w:rFonts w:cstheme="minorHAnsi"/>
        </w:rPr>
        <w:t xml:space="preserve"> στην εναρμόνιση και συνεπή εφαρμογή της χρηματοπιστωτικής εποπτείας στην </w:t>
      </w:r>
      <w:bookmarkStart w:id="1" w:name="_Hlk143868305"/>
      <w:r>
        <w:rPr>
          <w:rFonts w:cstheme="minorHAnsi"/>
        </w:rPr>
        <w:t>Ευρωπαϊκή Ένωση</w:t>
      </w:r>
      <w:bookmarkEnd w:id="1"/>
      <w:r>
        <w:rPr>
          <w:rFonts w:cstheme="minorHAnsi"/>
        </w:rPr>
        <w:t>, την διασφάλιση ίσης μεταχείρισης και την αξιολόγηση τυχόν κινδύνων και ευπαθειών του χρηματοπιστωτικού τομέα.</w:t>
      </w:r>
    </w:p>
    <w:p w14:paraId="12D3357F" w14:textId="77777777" w:rsidR="00482621" w:rsidRDefault="00482621" w:rsidP="00482621">
      <w:pPr>
        <w:jc w:val="both"/>
        <w:rPr>
          <w:rFonts w:cstheme="minorHAnsi"/>
        </w:rPr>
      </w:pPr>
      <w:r>
        <w:rPr>
          <w:rFonts w:cstheme="minorHAnsi"/>
        </w:rPr>
        <w:tab/>
      </w:r>
      <w:r w:rsidRPr="0012755B">
        <w:rPr>
          <w:rFonts w:cstheme="minorHAnsi"/>
        </w:rPr>
        <w:t xml:space="preserve">Σκοπός </w:t>
      </w:r>
      <w:r>
        <w:rPr>
          <w:rFonts w:cstheme="minorHAnsi"/>
        </w:rPr>
        <w:t xml:space="preserve">του μνημονίου είναι, μεταξύ άλλων, η συνεργασία/συμμετοχή των </w:t>
      </w:r>
      <w:bookmarkStart w:id="2" w:name="_Hlk143618784"/>
      <w:r>
        <w:rPr>
          <w:rFonts w:cstheme="minorHAnsi"/>
        </w:rPr>
        <w:t>ESA</w:t>
      </w:r>
      <w:r w:rsidRPr="0044162E">
        <w:rPr>
          <w:rFonts w:cstheme="minorHAnsi"/>
        </w:rPr>
        <w:t>’</w:t>
      </w:r>
      <w:r>
        <w:rPr>
          <w:rFonts w:cstheme="minorHAnsi"/>
        </w:rPr>
        <w:t>s</w:t>
      </w:r>
      <w:bookmarkEnd w:id="2"/>
      <w:r w:rsidRPr="0044162E">
        <w:rPr>
          <w:rFonts w:cstheme="minorHAnsi"/>
        </w:rPr>
        <w:t xml:space="preserve"> </w:t>
      </w:r>
      <w:r>
        <w:rPr>
          <w:rFonts w:cstheme="minorHAnsi"/>
        </w:rPr>
        <w:t>στις εκδηλώσεις που διεξάγονται στο Πανεπιστήμιο Πειραιώς, στο πλαίσιο των ημερών καριέρας, η διάδοση και προώθηση κενών θέσεων για πρακτική άσκηση των φοιτητών μας στις ESA</w:t>
      </w:r>
      <w:r w:rsidRPr="0044162E">
        <w:rPr>
          <w:rFonts w:cstheme="minorHAnsi"/>
        </w:rPr>
        <w:t>’</w:t>
      </w:r>
      <w:r>
        <w:rPr>
          <w:rFonts w:cstheme="minorHAnsi"/>
        </w:rPr>
        <w:t xml:space="preserve">s,  </w:t>
      </w:r>
      <w:r w:rsidRPr="0044162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12755B">
        <w:rPr>
          <w:rFonts w:cstheme="minorHAnsi"/>
        </w:rPr>
        <w:t xml:space="preserve">η διεξαγωγή σεμιναρίων εκπαίδευσης, συνεδρίων και ημερίδων </w:t>
      </w:r>
      <w:r>
        <w:rPr>
          <w:rFonts w:cstheme="minorHAnsi"/>
        </w:rPr>
        <w:t>και η συνεργασία τους σε επιλεγμένα έργα κοινού ενδιαφέροντος.</w:t>
      </w:r>
    </w:p>
    <w:p w14:paraId="4BB7F246" w14:textId="77777777" w:rsidR="00482621" w:rsidRPr="00BA340D" w:rsidRDefault="00482621" w:rsidP="00482621">
      <w:pPr>
        <w:jc w:val="both"/>
        <w:rPr>
          <w:rFonts w:cstheme="minorHAnsi"/>
        </w:rPr>
      </w:pPr>
      <w:r>
        <w:rPr>
          <w:rFonts w:cstheme="minorHAnsi"/>
        </w:rPr>
        <w:t>Η υπογραφή του συγκεκριμένου μνημονίου συνεργασίας αποτελεί σημαντική επιτυχία για το Πανεπιστήμιο Πειραιώς, αφενός γιατί  επελέγη από τις ESA</w:t>
      </w:r>
      <w:r w:rsidRPr="0044162E">
        <w:rPr>
          <w:rFonts w:cstheme="minorHAnsi"/>
        </w:rPr>
        <w:t>’</w:t>
      </w:r>
      <w:r>
        <w:rPr>
          <w:rFonts w:cstheme="minorHAnsi"/>
        </w:rPr>
        <w:t>s</w:t>
      </w:r>
      <w:r w:rsidRPr="0012755B">
        <w:rPr>
          <w:rFonts w:cstheme="minorHAnsi"/>
        </w:rPr>
        <w:t xml:space="preserve"> </w:t>
      </w:r>
      <w:r>
        <w:rPr>
          <w:rFonts w:cstheme="minorHAnsi"/>
        </w:rPr>
        <w:t xml:space="preserve">, με βάση αυστηρά κριτήρια που είχαν τεθεί, αφετέρου γιατί </w:t>
      </w:r>
      <w:r w:rsidRPr="0012755B">
        <w:rPr>
          <w:rFonts w:cstheme="minorHAnsi"/>
        </w:rPr>
        <w:t xml:space="preserve">η αξιοποίηση των δυνατοτήτων των δύο φορέων σε τομείς τεχνογνωσίας, </w:t>
      </w:r>
      <w:r>
        <w:rPr>
          <w:rFonts w:cstheme="minorHAnsi"/>
        </w:rPr>
        <w:t xml:space="preserve">έρευνας και </w:t>
      </w:r>
      <w:r w:rsidRPr="0012755B">
        <w:rPr>
          <w:rFonts w:cstheme="minorHAnsi"/>
        </w:rPr>
        <w:t xml:space="preserve">εκπαίδευσης </w:t>
      </w:r>
      <w:r>
        <w:rPr>
          <w:rFonts w:cstheme="minorHAnsi"/>
        </w:rPr>
        <w:t xml:space="preserve">θα έχει θετικά αποτελέσματα </w:t>
      </w:r>
      <w:r w:rsidRPr="0012755B">
        <w:rPr>
          <w:rFonts w:cstheme="minorHAnsi"/>
        </w:rPr>
        <w:t>τόσο για την πανεπιστημιακή</w:t>
      </w:r>
      <w:r w:rsidRPr="00CD420D">
        <w:rPr>
          <w:rFonts w:cstheme="minorHAnsi"/>
        </w:rPr>
        <w:t xml:space="preserve"> </w:t>
      </w:r>
      <w:r w:rsidRPr="0012755B">
        <w:rPr>
          <w:rFonts w:cstheme="minorHAnsi"/>
        </w:rPr>
        <w:t>κοινότητα</w:t>
      </w:r>
      <w:r>
        <w:rPr>
          <w:rFonts w:cstheme="minorHAnsi"/>
        </w:rPr>
        <w:t>, όσο και για τους φοιτητές μας.</w:t>
      </w:r>
    </w:p>
    <w:p w14:paraId="107BBCE3" w14:textId="6AD6368D" w:rsidR="00FE12C7" w:rsidRPr="00FE12C7" w:rsidRDefault="00FE12C7" w:rsidP="00482621"/>
    <w:sectPr w:rsidR="00FE12C7" w:rsidRPr="00FE1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5868"/>
    <w:multiLevelType w:val="multilevel"/>
    <w:tmpl w:val="CC0E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C7"/>
    <w:rsid w:val="000E64F0"/>
    <w:rsid w:val="001E7427"/>
    <w:rsid w:val="001F634A"/>
    <w:rsid w:val="00297FA9"/>
    <w:rsid w:val="00305529"/>
    <w:rsid w:val="003435AD"/>
    <w:rsid w:val="0035079F"/>
    <w:rsid w:val="0041685B"/>
    <w:rsid w:val="00482621"/>
    <w:rsid w:val="004E0A7E"/>
    <w:rsid w:val="0054467F"/>
    <w:rsid w:val="005B76A0"/>
    <w:rsid w:val="006662A8"/>
    <w:rsid w:val="006D7865"/>
    <w:rsid w:val="00904606"/>
    <w:rsid w:val="009469BE"/>
    <w:rsid w:val="009B7CB9"/>
    <w:rsid w:val="00A8127B"/>
    <w:rsid w:val="00C86B81"/>
    <w:rsid w:val="00DA4AF0"/>
    <w:rsid w:val="00E005B3"/>
    <w:rsid w:val="00E42D46"/>
    <w:rsid w:val="00F92688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37F"/>
  <w15:chartTrackingRefBased/>
  <w15:docId w15:val="{439A64B0-C39F-433D-834D-4F639CD5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E12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E12C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FE12C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E12C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1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DD6F-B1C6-4DC8-919F-8707EB65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Piraeus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Σταθάτου</dc:creator>
  <cp:keywords/>
  <dc:description/>
  <cp:lastModifiedBy>Ελένη Σταθάτου</cp:lastModifiedBy>
  <cp:revision>3</cp:revision>
  <cp:lastPrinted>2023-07-15T06:49:00Z</cp:lastPrinted>
  <dcterms:created xsi:type="dcterms:W3CDTF">2023-08-25T12:02:00Z</dcterms:created>
  <dcterms:modified xsi:type="dcterms:W3CDTF">2023-08-25T12:05:00Z</dcterms:modified>
</cp:coreProperties>
</file>